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02124"/>
          <w:sz w:val="32"/>
          <w:szCs w:val="32"/>
          <w:highlight w:val="white"/>
          <w:rtl w:val="0"/>
        </w:rPr>
        <w:t xml:space="preserve">Las colonias más </w:t>
      </w:r>
      <w:r w:rsidDel="00000000" w:rsidR="00000000" w:rsidRPr="00000000">
        <w:rPr>
          <w:b w:val="1"/>
          <w:i w:val="1"/>
          <w:color w:val="202124"/>
          <w:sz w:val="32"/>
          <w:szCs w:val="32"/>
          <w:highlight w:val="white"/>
          <w:rtl w:val="0"/>
        </w:rPr>
        <w:t xml:space="preserve">pet-friendly</w:t>
      </w:r>
      <w:r w:rsidDel="00000000" w:rsidR="00000000" w:rsidRPr="00000000">
        <w:rPr>
          <w:b w:val="1"/>
          <w:color w:val="202124"/>
          <w:sz w:val="32"/>
          <w:szCs w:val="32"/>
          <w:highlight w:val="white"/>
          <w:rtl w:val="0"/>
        </w:rPr>
        <w:t xml:space="preserve">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En Benito Juárez y Álvaro Obregón están los vecindarios más amigables con las mascotas.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4 de octubre de 2023.</w:t>
      </w:r>
      <w:r w:rsidDel="00000000" w:rsidR="00000000" w:rsidRPr="00000000">
        <w:rPr>
          <w:rtl w:val="0"/>
        </w:rPr>
        <w:t xml:space="preserve"> La capital mexicana, con su cultura vibrante y su ritmo acelerado, ha visto a lo largo de los años un aumento en la población que se decanta por vivir en departamentos. Aunado a esto, la creciente tendencia de compartir la vida con mascotas ha provocado que el sector inmobiliario tome nota, pues a nivel nacional el 69.8% de los hogares cuenta con algún tipo de mascota (perro, gato o animal más pequeño), según datos presentados en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ENBIARE 2021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En la actualidad, cada vez más personas, tanto jóvenes como adultos, buscan hogares que no solo les ofrezcan comodidad a ellos, sino también a sus compañeros de cuatro patas. Ser </w:t>
      </w:r>
      <w:r w:rsidDel="00000000" w:rsidR="00000000" w:rsidRPr="00000000">
        <w:rPr>
          <w:i w:val="1"/>
          <w:rtl w:val="0"/>
        </w:rPr>
        <w:t xml:space="preserve">pet-friendly</w:t>
      </w:r>
      <w:r w:rsidDel="00000000" w:rsidR="00000000" w:rsidRPr="00000000">
        <w:rPr>
          <w:rtl w:val="0"/>
        </w:rPr>
        <w:t xml:space="preserve"> es una característica que aporta beneficios tanto al sector inmobiliario y los establecimientos, como a las personas que rentan o compran departamentos en esta urbe: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inquilinos y compradores de propiedades </w:t>
      </w:r>
      <w:r w:rsidDel="00000000" w:rsidR="00000000" w:rsidRPr="00000000">
        <w:rPr>
          <w:i w:val="1"/>
          <w:rtl w:val="0"/>
        </w:rPr>
        <w:t xml:space="preserve">pet-friendly</w:t>
      </w:r>
      <w:r w:rsidDel="00000000" w:rsidR="00000000" w:rsidRPr="00000000">
        <w:rPr>
          <w:rtl w:val="0"/>
        </w:rPr>
        <w:t xml:space="preserve"> valoran este atributo, lo que puede resultar en tiempos de ocupación más largos y en rentas o precios de venta ligeramente superiores.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espacios comunes donde las mascotas pueden convivir (jardines, azoteas, etc.), fomentan la interacción entre vecinos, esencial para una vida urbana armónica.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mascotas requieren de actividad física regular, lo que se traduce en beneficios para sus dueños, pues tienen que salir a caminar o correr con ellos. Estar cerca de parques, tiendas y cafeterías </w:t>
      </w:r>
      <w:r w:rsidDel="00000000" w:rsidR="00000000" w:rsidRPr="00000000">
        <w:rPr>
          <w:i w:val="1"/>
          <w:rtl w:val="0"/>
        </w:rPr>
        <w:t xml:space="preserve">pet-friendly </w:t>
      </w:r>
      <w:r w:rsidDel="00000000" w:rsidR="00000000" w:rsidRPr="00000000">
        <w:rPr>
          <w:rtl w:val="0"/>
        </w:rPr>
        <w:t xml:space="preserve">incentiva aún más esta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establecimientos que deciden abrir sus puertas a las mascotas suelen atraer a un público leal y en crecimiento, pues se incentiva la repetición de visitas.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 mascotas brindan compañía y apoyo emocional. Saber que al regresar a casa estará ese fiel compañero que, además, tiene acceso a lugares </w:t>
      </w:r>
      <w:r w:rsidDel="00000000" w:rsidR="00000000" w:rsidRPr="00000000">
        <w:rPr>
          <w:i w:val="1"/>
          <w:rtl w:val="0"/>
        </w:rPr>
        <w:t xml:space="preserve">pet-friendly</w:t>
      </w:r>
      <w:r w:rsidDel="00000000" w:rsidR="00000000" w:rsidRPr="00000000">
        <w:rPr>
          <w:rtl w:val="0"/>
        </w:rPr>
        <w:t xml:space="preserve">, aumenta la sensación de bienestar y pertenencia.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Hoy en día, las mascotas son consideradas, por muchos, parte integral de la familia. Los negocios que se adaptan a estas tendencias muestran una visión moderna y comprensiva de las necesidades actuales de la sociedad.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Por todo ello, el equipo de Data Science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, plataforma digital inmobiliaria con toda la información sobre precios de vivienda, se dio a la tarea de investigar cuáles son las colonias más </w:t>
      </w:r>
      <w:r w:rsidDel="00000000" w:rsidR="00000000" w:rsidRPr="00000000">
        <w:rPr>
          <w:i w:val="1"/>
          <w:rtl w:val="0"/>
        </w:rPr>
        <w:t xml:space="preserve">pet-friendly</w:t>
      </w:r>
      <w:r w:rsidDel="00000000" w:rsidR="00000000" w:rsidRPr="00000000">
        <w:rPr>
          <w:rtl w:val="0"/>
        </w:rPr>
        <w:t xml:space="preserve"> en la Ciudad de México, es decir, </w:t>
      </w:r>
      <w:r w:rsidDel="00000000" w:rsidR="00000000" w:rsidRPr="00000000">
        <w:rPr>
          <w:b w:val="1"/>
          <w:rtl w:val="0"/>
        </w:rPr>
        <w:t xml:space="preserve">dónde hay más departamentos que admiten mascotas y con más veterinarias: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3105"/>
        <w:tblGridChange w:id="0">
          <w:tblGrid>
            <w:gridCol w:w="3150"/>
            <w:gridCol w:w="31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Alcaldía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Lago Sur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Miguel Hidalgo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Pedregal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Álvaro Obregón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Pasteros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Azcapotzalco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Navidad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Cuajimalpa de Morelos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Noche Buena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Benito Juárez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Benito Juárez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Joyita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A. Madero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INPI Los Picos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Iztacalco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Alcantarilla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Álvaro Obregón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Insurgentes San Borja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Benito Juárez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i w:val="1"/>
          <w:rtl w:val="0"/>
        </w:rPr>
        <w:t xml:space="preserve">“La inclusión de las mascotas en la vida urbana es una tendencia que llegó para quedarse. La Ciudad de México, siempre a la vanguardia, tiene una oportunidad de oro para consolidarse como una metrópoli pet-friendly. Para el sector inmobiliario, esto representa una ocasión para innovar, adaptarse y ofrecer propiedades que respondan a las demandas actuales”</w:t>
      </w:r>
      <w:r w:rsidDel="00000000" w:rsidR="00000000" w:rsidRPr="00000000">
        <w:rPr>
          <w:rtl w:val="0"/>
        </w:rPr>
        <w:t xml:space="preserve">, afirma </w:t>
      </w:r>
      <w:r w:rsidDel="00000000" w:rsidR="00000000" w:rsidRPr="00000000">
        <w:rPr>
          <w:b w:val="1"/>
          <w:rtl w:val="0"/>
        </w:rPr>
        <w:t xml:space="preserve">Jorge Combe, cofundador de DD360.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La esencia de la Ciudad de México reside en su capacidad para adaptarse y abrazar la diversidad. En este sentido, acoger a las mascotas como parte integral de la vida urbana es simplemente otro paso en su evolución como una capital líder en América Latina y el mundo.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Cabe mencionar que los datos obtenidos se recopilaron gracias a herramientas digitales como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, a través de la cual, los compradores y desarrolladores pueden acceder de forma gratuita a información precisa sobre cualquier propiedad y la zona donde se encuentra, además de obtener en minutos un avalúo confiable, para que con esto tomen mejores decisiones al momento de comprar, construir o vender un inmueble.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####</w:t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Sobre monopolio.com.mx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Es un producto digital que forma parte del ecosistema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DD360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, la plataforma online de financiamiento y gestión de proyectos residenciales, que opera créditos puente y pre-puente para desarrolladores, así como créditos hipotecarios para consumidores finales.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es la plataforma para invertir, comprar o rentar, de manera inteligente para que las personas construyan y administren su Monopolio.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Desde 2021, 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ofrece avalúos digitales y un mapa con información del valor de venta y renta de las 2 millones de propiedades en Ciudad de México. Además, incluye métricas de cap rate (retorno porcentual en rentas sobre el valor de una propiedad) y plusvalía para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México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Rodrigo Franco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rodrigo.franco@another.co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5570517579</w: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/>
      <w:drawing>
        <wp:inline distB="114300" distT="114300" distL="114300" distR="114300">
          <wp:extent cx="1795463" cy="4712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47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odrigo.franco@another.co" TargetMode="External"/><Relationship Id="rId10" Type="http://schemas.openxmlformats.org/officeDocument/2006/relationships/hyperlink" Target="http://monopolio.com.mx" TargetMode="External"/><Relationship Id="rId12" Type="http://schemas.openxmlformats.org/officeDocument/2006/relationships/header" Target="header1.xml"/><Relationship Id="rId9" Type="http://schemas.openxmlformats.org/officeDocument/2006/relationships/hyperlink" Target="http://monopolio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egi.org.mx/contenidos/saladeprensa/boletines/2021/EstSociodemo/ENBIARE_2021.pdf" TargetMode="External"/><Relationship Id="rId7" Type="http://schemas.openxmlformats.org/officeDocument/2006/relationships/hyperlink" Target="https://monopolio.com.mx/" TargetMode="External"/><Relationship Id="rId8" Type="http://schemas.openxmlformats.org/officeDocument/2006/relationships/hyperlink" Target="https://monopolio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